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5d76c07d5124ef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49954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JOSIP VERGILIJ PERIĆ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2.185.278,11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2.237.766,86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2.130.347,59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2.410.449,85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172.682,99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4.639,27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177.322,26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Josip Vergilij Perić posluje u skladu sa Zakonom o odgoju i obrazovanju u osnovnoj školi i Statutu škole. Vodi proračunsko računovodstvo temeljem Pravilnika o proračunskom računovodstvu i Računskom planu, a financijske izvještaje sastavlja i predaje u skladu s odredbama Pravilnika o financijskom izvještavanju u proračunskom računovodstvu.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299.261,82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306.550,95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Prihodi iz nadležnog proračuna  i od HZZO-a na temelju ugovornih obveza koji su ostvareni u izvještajnom razdobljutekuće godne izbose 306.550,95 što je za 2,4% više  u odnosuna izvještajno razdoblje prethodne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2.130.347,59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2.410.449,85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r>
        <w:t xml:space="preserve">Rashodi poslovanja u tekućem razdoblju iznose 2.411.175,73 EUR , što je za 13,2% više nego u istom razdoblju prethodne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1.655.422,15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1.912.914,68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Rashodi za zaposlene iznose 1.912.914,68 što je za 15,6% više u odnosu na prethodno razdoblje. Do povećanja dolazi zbog povećanja plaća zaposlenih u sustavu obrazovanja. Do odstupanja dolazi i zbog ukidanja kontinuiranih rashoda budućih razdoblja (Plaća 12-2024) prenosi na odgovarajuće račune razreda 3-rashodi poslovanja s danom 1.1.2025.godine.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414.034,15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432.394,88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Materijalni rashodi ostavreni u izvještajnom razdoblju tekuće godine iznose 432.394,87 EUR . Do povećanaj dolazi zbog povećanja naknade troškova zaposlenima, nabave psihodijagnostičkih sredstava, nabave naterijala, provođenje usluge zaštita na radu te ostalih nespomenutih rashoda poslovanja.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w:t>
            </w:r>
          </w:p>
        </w:tc>
      </w:tr>
    </w:tbl>
    <w:p>
      <w:pPr>
        <w:spacing w:before="0" w:after="0"/>
      </w:pPr>
    </w:p>
    <w:p>
      <w:r>
        <w:t xml:space="preserve">Intelektualne i osobne usluge u izvještajnom razdoblju tekuće godine iznose 1.982,00 EUR što je za 91,80 % manje u odnosu na isto razdoblje prethodne godine. Do razlike dolazi zbog toga što smo u istom razdoblju prethodne godine imali isplatu ugovora o djelu za djelatnike koji su sudjelovali u projektu Biomozaik krš i more , te provođenje javne nabave za prehranu.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28.166,45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18.693,45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w:t>
            </w:r>
          </w:p>
        </w:tc>
      </w:tr>
    </w:tbl>
    <w:p>
      <w:pPr>
        <w:spacing w:before="0" w:after="0"/>
      </w:pPr>
    </w:p>
    <w:p>
      <w:r>
        <w:t xml:space="preserve">Stanje novčanih sredstava na kraju izvještajnog razdoblja iznosi 18.693,45 EUR što je za 33,6% manje u dnosu na prethodno obračunsko razdoblje jer smo tada imali pripravnika koji jezavršio svoj pripravnički staž.</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-190.436,39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1323,7</w:t>
            </w:r>
          </w:p>
        </w:tc>
      </w:tr>
    </w:tbl>
    <w:p>
      <w:pPr>
        <w:spacing w:before="0" w:after="0"/>
      </w:pPr>
    </w:p>
    <w:p>
      <w:r>
        <w:t xml:space="preserve">U 2025.g. manjak u ukupnom iznosu je 3190.436,39 EUR zbog dodatnih ulaganja na građevinskim objektima, stručnih usavršavanja ,plaća..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2.145.186,59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2.415.089,12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bl>
    <w:p>
      <w:pPr>
        <w:spacing w:before="0" w:after="0"/>
      </w:pPr>
    </w:p>
    <w:p>
      <w:r>
        <w:t xml:space="preserve">Svi rashodi ostvareni u 2025.godini iskazani su na kontu 09-Obrazovanje.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369.852,31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324.989,81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w:t>
            </w:r>
          </w:p>
        </w:tc>
      </w:tr>
    </w:tbl>
    <w:p>
      <w:pPr>
        <w:spacing w:before="0" w:after="0"/>
      </w:pPr>
    </w:p>
    <w:p>
      <w:r>
        <w:t xml:space="preserve">Konto 096-Dodatne usluge u obrazovanju se odnose na redoviti prijevoz učenika te prijevoz učenika čiju smo suglasnost dobili od strane Ministarstva, EU projekte, Školski medni dan, projekt Učimo zajedno VII, prehrana učenika, higijenske potrepštine, nabava školskih udžbenika.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Ispravak vrijednosti dugotrajne imovine iskazan e kroz obrazac P-VRIO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182.014,02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1.siječnja iznosi  182.014,02 EUR. ZTo se odnosi na nepodmirene obveze iz prošle proračunske godine koje su prenesene u 2025.godinu.</w:t>
      </w:r>
    </w:p>
    <w:p>
      <w:r>
        <w:t xml:space="preserv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65.295,65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Uvođenjem Riznice, škola zahtjeve za podmirenje obveza prema dobavljačima šalje osnivaču koji zahtjeve obrađuje i plaća. Škola zatvara obvezu prema dobavljačima po obavijesti  županije, što iziskuje više vremena. Iskazane obveze su podmirene u siječnju 2026. godine.  Na poziciji VOO/ iskazan je iznos 65.295,64 EUR</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147.451,76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obračunskog razdoblja iznosi 147.451,76 EUR. Navedene obveze se odnose na obveze za isplatu sredstava za materijalne rashode za 12-2025, te na obveze za isplatu plaća za 12-2025 za zaposlene u sustavu obrazovanja, obveza za isplatu plaće za PUN , te materijalna prava zaposlenih za studenac i prosinac 2025.godine.</w:t>
      </w:r>
    </w:p>
    <w:p/>
    <w:p>
      <w:pPr>
        <w:jc w:val="center"/>
        <w:pStyle w:val="Normal"/>
        <w:spacing w:line="240" w:lineRule="auto"/>
        <w:keepNext/>
      </w:pPr>
      <w:r>
        <w:rPr>
          <w:sz w:val="28"/>
          <w:rFonts w:ascii="Times New Roman" w:hAnsi="Times New Roman"/>
        </w:rPr>
        <w:t xml:space="preserve">Bilješka 15.</w:t>
      </w:r>
    </w:p>
    <w:p>
      <w:pPr>
        <w:jc w:val="both"/>
        <w:pStyle w:val="Normal"/>
        <w:spacing w:line="240" w:lineRule="auto"/>
      </w:pPr>
      <w:r>
        <w:rPr>
          <w:b/>
          <w:sz w:val="24"/>
          <w:rFonts w:ascii="Times New Roman" w:hAnsi="Times New Roman"/>
        </w:rPr>
        <w:t xml:space="preserve">EU izvještaj</w:t>
      </w:r>
    </w:p>
    <w:p>
      <w:r>
        <w:t xml:space="preserve">Program nacionalno sufinanciranje</w:t>
      </w:r>
    </w:p>
    <w:p>
      <w:r>
        <w:t xml:space="preserve">Tekući prijenosi između proračunskih korisnika istog proračuna u izvještajnom razdoblju 2025.godine iznose 1688,29 EUR. Na navedenom kontu knjižimo 15% ukupnog iznosa bespovratnih sredstava u projektu Učimo zajedno VII (prema uputama nadležnog proračuna)</w:t>
      </w:r>
    </w:p>
    <w:p>
      <w:r>
        <w:t xml:space="preserve">Europski socijalni fond plus</w:t>
      </w:r>
    </w:p>
    <w:p>
      <w:r>
        <w:t xml:space="preserve">Tekući prijenosi između PK istog proračuna  temeljem prijenosa EU sredstava u izvještajnom razdoblju iznose 9.566,82 EUR. Na navedenom kontu je knjiženo 85% ukupnog iznosa bespovratnih sredstava u projektu Učimo zajedno VII (prema uputama nadležnog proračuna.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ef517748a504541" /></Relationships>
</file>